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48" w:rsidRPr="00B7513E" w:rsidRDefault="00476148" w:rsidP="00476148">
      <w:pPr>
        <w:ind w:firstLine="0"/>
        <w:jc w:val="center"/>
        <w:rPr>
          <w:rFonts w:ascii="Tahoma" w:hAnsi="Tahoma"/>
          <w:snapToGrid w:val="0"/>
          <w:sz w:val="22"/>
          <w:szCs w:val="22"/>
        </w:rPr>
      </w:pPr>
      <w:r w:rsidRPr="00B7513E">
        <w:rPr>
          <w:b/>
          <w:sz w:val="22"/>
          <w:szCs w:val="22"/>
        </w:rPr>
        <w:t>Exhibit A</w:t>
      </w:r>
    </w:p>
    <w:p w:rsidR="00476148" w:rsidRPr="00B7513E" w:rsidRDefault="00476148" w:rsidP="00476148">
      <w:pPr>
        <w:tabs>
          <w:tab w:val="left" w:pos="9923"/>
        </w:tabs>
        <w:ind w:firstLine="0"/>
        <w:jc w:val="center"/>
        <w:rPr>
          <w:b/>
          <w:sz w:val="22"/>
          <w:szCs w:val="22"/>
          <w:u w:val="single"/>
        </w:rPr>
      </w:pPr>
      <w:r w:rsidRPr="00B7513E">
        <w:rPr>
          <w:b/>
          <w:sz w:val="22"/>
          <w:szCs w:val="22"/>
          <w:u w:val="single"/>
        </w:rPr>
        <w:t>Drug Safety Definitions</w:t>
      </w:r>
    </w:p>
    <w:p w:rsidR="00476148" w:rsidRPr="00B7513E" w:rsidRDefault="00476148" w:rsidP="00476148">
      <w:pPr>
        <w:widowControl w:val="0"/>
        <w:spacing w:after="240"/>
        <w:ind w:firstLine="0"/>
        <w:jc w:val="both"/>
        <w:outlineLvl w:val="1"/>
        <w:rPr>
          <w:sz w:val="22"/>
          <w:szCs w:val="22"/>
        </w:rPr>
      </w:pPr>
      <w:r w:rsidRPr="00B7513E">
        <w:rPr>
          <w:b/>
          <w:bCs/>
          <w:sz w:val="22"/>
          <w:szCs w:val="22"/>
        </w:rPr>
        <w:t xml:space="preserve">Abuse: </w:t>
      </w:r>
      <w:r w:rsidRPr="00B7513E">
        <w:rPr>
          <w:sz w:val="22"/>
          <w:szCs w:val="22"/>
        </w:rPr>
        <w:t>Persistent or sporadic intentional excessive use of a Medicinal Product by a patient or Clinical Trial subject.</w:t>
      </w:r>
    </w:p>
    <w:p w:rsidR="00476148" w:rsidRPr="00B7513E" w:rsidRDefault="00476148" w:rsidP="00476148">
      <w:pPr>
        <w:widowControl w:val="0"/>
        <w:spacing w:after="240"/>
        <w:ind w:firstLine="0"/>
        <w:jc w:val="both"/>
        <w:rPr>
          <w:color w:val="000000"/>
          <w:sz w:val="22"/>
          <w:szCs w:val="22"/>
        </w:rPr>
      </w:pPr>
      <w:r w:rsidRPr="00B7513E">
        <w:rPr>
          <w:b/>
          <w:bCs/>
          <w:color w:val="000000"/>
          <w:sz w:val="22"/>
          <w:szCs w:val="22"/>
        </w:rPr>
        <w:t xml:space="preserve">Adverse Event (“AE”): </w:t>
      </w:r>
      <w:r w:rsidRPr="00B7513E">
        <w:rPr>
          <w:color w:val="000000"/>
          <w:sz w:val="22"/>
          <w:szCs w:val="22"/>
        </w:rPr>
        <w:t xml:space="preserve">Any untoward medical occurrence in a patient or clinical investigation subject administered a medicinal product and which does not necessarily have to have a causal relationship with this treatment. An Adverse Event (AE) can therefore be any unfavourable and/or unintended sign (including an abnormal laboratory finding, for example), symptom, or disease temporally associated with the use of a medicinal product, whether or not considered related to the medicinal product.  AEs may also include pre- or post-treatment complications that occur as a result of protocol mandated procedures, lack of efficacy, </w:t>
      </w:r>
      <w:r w:rsidRPr="00B7513E">
        <w:rPr>
          <w:color w:val="000000"/>
          <w:sz w:val="22"/>
          <w:szCs w:val="22"/>
          <w:lang w:eastAsia="ja-JP"/>
        </w:rPr>
        <w:t>O</w:t>
      </w:r>
      <w:r w:rsidRPr="00B7513E">
        <w:rPr>
          <w:color w:val="000000"/>
          <w:sz w:val="22"/>
          <w:szCs w:val="22"/>
        </w:rPr>
        <w:t xml:space="preserve">verdose or drug </w:t>
      </w:r>
      <w:r w:rsidRPr="00B7513E">
        <w:rPr>
          <w:color w:val="000000"/>
          <w:sz w:val="22"/>
          <w:szCs w:val="22"/>
          <w:lang w:eastAsia="ja-JP"/>
        </w:rPr>
        <w:t>A</w:t>
      </w:r>
      <w:r w:rsidRPr="00B7513E">
        <w:rPr>
          <w:color w:val="000000"/>
          <w:sz w:val="22"/>
          <w:szCs w:val="22"/>
        </w:rPr>
        <w:t>buse/</w:t>
      </w:r>
      <w:r w:rsidRPr="00B7513E">
        <w:rPr>
          <w:color w:val="000000"/>
          <w:sz w:val="22"/>
          <w:szCs w:val="22"/>
          <w:lang w:eastAsia="ja-JP"/>
        </w:rPr>
        <w:t>M</w:t>
      </w:r>
      <w:r w:rsidRPr="00B7513E">
        <w:rPr>
          <w:color w:val="000000"/>
          <w:sz w:val="22"/>
          <w:szCs w:val="22"/>
        </w:rPr>
        <w:t>isuse reports. Pre-existing events that increase in severity or change in nature during or as a consequence of participation in the clinical study shall also be considered AEs.</w:t>
      </w:r>
    </w:p>
    <w:p w:rsidR="00476148" w:rsidRPr="00B7513E" w:rsidRDefault="00476148" w:rsidP="00476148">
      <w:pPr>
        <w:spacing w:after="240"/>
        <w:ind w:firstLine="0"/>
        <w:jc w:val="both"/>
        <w:rPr>
          <w:sz w:val="22"/>
          <w:szCs w:val="22"/>
        </w:rPr>
      </w:pPr>
      <w:r w:rsidRPr="00B7513E">
        <w:rPr>
          <w:b/>
          <w:color w:val="000000"/>
          <w:sz w:val="22"/>
          <w:szCs w:val="22"/>
        </w:rPr>
        <w:t>Adverse Reaction (“AR”):</w:t>
      </w:r>
      <w:r w:rsidRPr="00B7513E">
        <w:rPr>
          <w:b/>
          <w:bCs/>
          <w:color w:val="000000"/>
          <w:sz w:val="22"/>
          <w:szCs w:val="22"/>
        </w:rPr>
        <w:t xml:space="preserve"> </w:t>
      </w:r>
      <w:r w:rsidRPr="00B7513E">
        <w:rPr>
          <w:sz w:val="22"/>
          <w:szCs w:val="22"/>
        </w:rPr>
        <w:t xml:space="preserve">An untoward medical occurrence (unintended or noxious responses) considered causally related to an investigational or authorized </w:t>
      </w:r>
      <w:r w:rsidRPr="00B7513E">
        <w:rPr>
          <w:sz w:val="22"/>
          <w:szCs w:val="22"/>
          <w:lang w:eastAsia="ja-JP"/>
        </w:rPr>
        <w:t>m</w:t>
      </w:r>
      <w:r w:rsidRPr="00B7513E">
        <w:rPr>
          <w:sz w:val="22"/>
          <w:szCs w:val="22"/>
        </w:rPr>
        <w:t xml:space="preserve">edicinal </w:t>
      </w:r>
      <w:r w:rsidRPr="00B7513E">
        <w:rPr>
          <w:sz w:val="22"/>
          <w:szCs w:val="22"/>
          <w:lang w:eastAsia="ja-JP"/>
        </w:rPr>
        <w:t>p</w:t>
      </w:r>
      <w:r w:rsidRPr="00B7513E">
        <w:rPr>
          <w:sz w:val="22"/>
          <w:szCs w:val="22"/>
        </w:rPr>
        <w:t>roduct at any dose administered. Adverse Reactions may arise from Medication Errors, uses outside what is foreseen in the protocol or prescribing information (off-label use), Misuse and Abuse of the product, Overdose or Occupational Exposure where applicable.</w:t>
      </w:r>
    </w:p>
    <w:p w:rsidR="00476148" w:rsidRPr="00B7513E" w:rsidRDefault="00476148" w:rsidP="00476148">
      <w:pPr>
        <w:widowControl w:val="0"/>
        <w:spacing w:after="240"/>
        <w:ind w:firstLine="0"/>
        <w:jc w:val="both"/>
        <w:rPr>
          <w:b/>
          <w:bCs/>
          <w:color w:val="000000"/>
          <w:sz w:val="22"/>
          <w:szCs w:val="22"/>
        </w:rPr>
      </w:pPr>
      <w:r w:rsidRPr="00B7513E">
        <w:rPr>
          <w:b/>
          <w:bCs/>
          <w:color w:val="000000"/>
          <w:sz w:val="22"/>
          <w:szCs w:val="22"/>
        </w:rPr>
        <w:t>Lack of Effect Report</w:t>
      </w:r>
      <w:bookmarkStart w:id="0" w:name="_DV_M46"/>
      <w:bookmarkStart w:id="1" w:name="_DV_M47"/>
      <w:bookmarkEnd w:id="0"/>
      <w:bookmarkEnd w:id="1"/>
      <w:r w:rsidRPr="00B7513E">
        <w:rPr>
          <w:b/>
          <w:bCs/>
          <w:color w:val="000000"/>
          <w:sz w:val="22"/>
          <w:szCs w:val="22"/>
        </w:rPr>
        <w:t xml:space="preserve">: </w:t>
      </w:r>
      <w:r w:rsidRPr="00B7513E">
        <w:rPr>
          <w:bCs/>
          <w:color w:val="000000"/>
          <w:sz w:val="22"/>
          <w:szCs w:val="22"/>
        </w:rPr>
        <w:t xml:space="preserve">A </w:t>
      </w:r>
      <w:r w:rsidRPr="00B7513E">
        <w:rPr>
          <w:color w:val="000000"/>
          <w:sz w:val="22"/>
          <w:szCs w:val="22"/>
        </w:rPr>
        <w:t>report of a</w:t>
      </w:r>
      <w:r w:rsidRPr="00B7513E">
        <w:rPr>
          <w:b/>
          <w:bCs/>
          <w:color w:val="000000"/>
          <w:sz w:val="22"/>
          <w:szCs w:val="22"/>
        </w:rPr>
        <w:t xml:space="preserve"> </w:t>
      </w:r>
      <w:r w:rsidRPr="00B7513E">
        <w:rPr>
          <w:color w:val="000000"/>
          <w:sz w:val="22"/>
          <w:szCs w:val="22"/>
        </w:rPr>
        <w:t>situation where there is apparent failure of the medicinal product or medical technology to bring about the intended beneficial effect on individuals in a defined population with a given medical problem, under ideal conditions of use. NOTE: Lack of Effect reports from Clinical Studies refer to situations where the product is administered within the authorized indication and use.</w:t>
      </w:r>
    </w:p>
    <w:p w:rsidR="00476148" w:rsidRPr="00B7513E" w:rsidRDefault="00476148" w:rsidP="00476148">
      <w:pPr>
        <w:widowControl w:val="0"/>
        <w:spacing w:after="240"/>
        <w:ind w:firstLine="0"/>
        <w:jc w:val="both"/>
        <w:rPr>
          <w:b/>
          <w:bCs/>
          <w:sz w:val="22"/>
          <w:szCs w:val="22"/>
        </w:rPr>
      </w:pPr>
      <w:r w:rsidRPr="00B7513E">
        <w:rPr>
          <w:b/>
          <w:bCs/>
          <w:color w:val="000000"/>
          <w:sz w:val="22"/>
          <w:szCs w:val="22"/>
        </w:rPr>
        <w:t>Medication Error</w:t>
      </w:r>
      <w:r w:rsidRPr="00B7513E">
        <w:rPr>
          <w:color w:val="000000"/>
          <w:sz w:val="22"/>
          <w:szCs w:val="22"/>
        </w:rPr>
        <w:t xml:space="preserve">: Any unintentional error in the prescribing, dispensing or administration of a </w:t>
      </w:r>
      <w:r w:rsidRPr="00B7513E">
        <w:rPr>
          <w:color w:val="000000"/>
          <w:sz w:val="22"/>
          <w:szCs w:val="22"/>
          <w:lang w:eastAsia="ja-JP"/>
        </w:rPr>
        <w:t>m</w:t>
      </w:r>
      <w:r w:rsidRPr="00B7513E">
        <w:rPr>
          <w:color w:val="000000"/>
          <w:sz w:val="22"/>
          <w:szCs w:val="22"/>
        </w:rPr>
        <w:t xml:space="preserve">edicinal </w:t>
      </w:r>
      <w:r w:rsidRPr="00B7513E">
        <w:rPr>
          <w:color w:val="000000"/>
          <w:sz w:val="22"/>
          <w:szCs w:val="22"/>
          <w:lang w:eastAsia="ja-JP"/>
        </w:rPr>
        <w:t>p</w:t>
      </w:r>
      <w:r w:rsidRPr="00B7513E">
        <w:rPr>
          <w:color w:val="000000"/>
          <w:sz w:val="22"/>
          <w:szCs w:val="22"/>
        </w:rPr>
        <w:t>roduct while the medication is in the control of a healthcare professional, patient or consumer.</w:t>
      </w:r>
    </w:p>
    <w:p w:rsidR="00476148" w:rsidRPr="00B7513E" w:rsidRDefault="00476148" w:rsidP="00476148">
      <w:pPr>
        <w:keepNext/>
        <w:spacing w:after="240"/>
        <w:ind w:firstLine="0"/>
        <w:jc w:val="both"/>
        <w:outlineLvl w:val="2"/>
        <w:rPr>
          <w:bCs/>
          <w:sz w:val="22"/>
          <w:szCs w:val="22"/>
          <w:lang w:eastAsia="x-none"/>
        </w:rPr>
      </w:pPr>
      <w:r w:rsidRPr="00B7513E">
        <w:rPr>
          <w:b/>
          <w:bCs/>
          <w:color w:val="000000"/>
          <w:sz w:val="22"/>
          <w:szCs w:val="22"/>
        </w:rPr>
        <w:t xml:space="preserve">Misuse: </w:t>
      </w:r>
      <w:r w:rsidRPr="00B7513E">
        <w:rPr>
          <w:bCs/>
          <w:sz w:val="22"/>
          <w:szCs w:val="22"/>
          <w:lang w:eastAsia="x-none"/>
        </w:rPr>
        <w:t xml:space="preserve">Use of a medicinal product </w:t>
      </w:r>
      <w:r w:rsidRPr="00B7513E">
        <w:rPr>
          <w:bCs/>
          <w:sz w:val="22"/>
          <w:szCs w:val="22"/>
        </w:rPr>
        <w:t>that is intentional and inappropriate and not in accordance with its authorized product information</w:t>
      </w:r>
      <w:r w:rsidRPr="00B7513E">
        <w:rPr>
          <w:bCs/>
          <w:sz w:val="22"/>
          <w:szCs w:val="22"/>
          <w:lang w:eastAsia="ja-JP"/>
        </w:rPr>
        <w:t>.</w:t>
      </w:r>
      <w:r w:rsidRPr="00B7513E" w:rsidDel="00E36DD9">
        <w:rPr>
          <w:bCs/>
          <w:sz w:val="22"/>
          <w:szCs w:val="22"/>
          <w:lang w:eastAsia="x-none"/>
        </w:rPr>
        <w:t xml:space="preserve"> </w:t>
      </w:r>
    </w:p>
    <w:p w:rsidR="00476148" w:rsidRPr="00B7513E" w:rsidRDefault="00476148" w:rsidP="00476148">
      <w:pPr>
        <w:spacing w:after="240"/>
        <w:ind w:firstLine="0"/>
        <w:jc w:val="both"/>
        <w:rPr>
          <w:bCs/>
          <w:sz w:val="22"/>
          <w:szCs w:val="22"/>
        </w:rPr>
      </w:pPr>
      <w:r w:rsidRPr="00B7513E">
        <w:rPr>
          <w:b/>
          <w:bCs/>
          <w:sz w:val="22"/>
          <w:szCs w:val="22"/>
        </w:rPr>
        <w:t xml:space="preserve">Occupational Exposure: </w:t>
      </w:r>
      <w:r w:rsidRPr="00B7513E">
        <w:rPr>
          <w:bCs/>
          <w:sz w:val="22"/>
          <w:szCs w:val="22"/>
        </w:rPr>
        <w:t xml:space="preserve">Exposure to a </w:t>
      </w:r>
      <w:r w:rsidRPr="00B7513E">
        <w:rPr>
          <w:bCs/>
          <w:sz w:val="22"/>
          <w:szCs w:val="22"/>
          <w:lang w:eastAsia="ja-JP"/>
        </w:rPr>
        <w:t>m</w:t>
      </w:r>
      <w:r w:rsidRPr="00B7513E">
        <w:rPr>
          <w:bCs/>
          <w:sz w:val="22"/>
          <w:szCs w:val="22"/>
        </w:rPr>
        <w:t xml:space="preserve">edicinal </w:t>
      </w:r>
      <w:r w:rsidRPr="00B7513E">
        <w:rPr>
          <w:bCs/>
          <w:sz w:val="22"/>
          <w:szCs w:val="22"/>
          <w:lang w:eastAsia="ja-JP"/>
        </w:rPr>
        <w:t>p</w:t>
      </w:r>
      <w:r w:rsidRPr="00B7513E">
        <w:rPr>
          <w:bCs/>
          <w:sz w:val="22"/>
          <w:szCs w:val="22"/>
        </w:rPr>
        <w:t>roduct as a result of one’s professional or non-professional occupation.</w:t>
      </w:r>
    </w:p>
    <w:p w:rsidR="00476148" w:rsidRPr="00B7513E" w:rsidRDefault="00476148" w:rsidP="00476148">
      <w:pPr>
        <w:widowControl w:val="0"/>
        <w:spacing w:after="240"/>
        <w:ind w:firstLine="0"/>
        <w:jc w:val="both"/>
        <w:rPr>
          <w:b/>
          <w:bCs/>
          <w:color w:val="000000"/>
          <w:sz w:val="22"/>
          <w:szCs w:val="22"/>
        </w:rPr>
      </w:pPr>
      <w:r w:rsidRPr="00B7513E">
        <w:rPr>
          <w:b/>
          <w:bCs/>
          <w:color w:val="000000"/>
          <w:sz w:val="22"/>
          <w:szCs w:val="22"/>
        </w:rPr>
        <w:t xml:space="preserve">Off-label Use: </w:t>
      </w:r>
      <w:r w:rsidRPr="00B7513E">
        <w:rPr>
          <w:bCs/>
          <w:color w:val="000000"/>
          <w:sz w:val="22"/>
          <w:szCs w:val="22"/>
        </w:rPr>
        <w:t>Where a medicinal product is intentionally prescribed by a Health Care Professional for a medical purpose not in accordance with the authorized product information with respect to indication, dose or patient population (e.g. the elderly). NOTE: Off- Label Use will not apply in Clinical Studies.</w:t>
      </w:r>
    </w:p>
    <w:p w:rsidR="00476148" w:rsidRPr="00B7513E" w:rsidRDefault="00476148" w:rsidP="00476148">
      <w:pPr>
        <w:widowControl w:val="0"/>
        <w:spacing w:after="240"/>
        <w:ind w:firstLine="0"/>
        <w:jc w:val="both"/>
        <w:rPr>
          <w:color w:val="000000"/>
          <w:sz w:val="22"/>
          <w:szCs w:val="22"/>
        </w:rPr>
      </w:pPr>
      <w:r w:rsidRPr="00B7513E">
        <w:rPr>
          <w:b/>
          <w:bCs/>
          <w:color w:val="000000"/>
          <w:sz w:val="22"/>
          <w:szCs w:val="22"/>
        </w:rPr>
        <w:t xml:space="preserve">Overdose: </w:t>
      </w:r>
      <w:r w:rsidRPr="00B7513E">
        <w:rPr>
          <w:sz w:val="22"/>
          <w:szCs w:val="22"/>
        </w:rPr>
        <w:t xml:space="preserve">Administration of a quantity of a </w:t>
      </w:r>
      <w:r w:rsidRPr="00B7513E">
        <w:rPr>
          <w:sz w:val="22"/>
          <w:szCs w:val="22"/>
          <w:lang w:eastAsia="ja-JP"/>
        </w:rPr>
        <w:t>m</w:t>
      </w:r>
      <w:r w:rsidRPr="00B7513E">
        <w:rPr>
          <w:sz w:val="22"/>
          <w:szCs w:val="22"/>
        </w:rPr>
        <w:t xml:space="preserve">edicinal </w:t>
      </w:r>
      <w:r w:rsidRPr="00B7513E">
        <w:rPr>
          <w:sz w:val="22"/>
          <w:szCs w:val="22"/>
          <w:lang w:eastAsia="ja-JP"/>
        </w:rPr>
        <w:t>p</w:t>
      </w:r>
      <w:r w:rsidRPr="00B7513E">
        <w:rPr>
          <w:sz w:val="22"/>
          <w:szCs w:val="22"/>
        </w:rPr>
        <w:t xml:space="preserve">roduct given per administration or cumulatively which is above the maximum recommended dose as per the protocol or in the product labelling. </w:t>
      </w:r>
      <w:r w:rsidRPr="00B7513E">
        <w:rPr>
          <w:color w:val="000000"/>
          <w:sz w:val="22"/>
          <w:szCs w:val="22"/>
        </w:rPr>
        <w:t>The Parties agree that in the course of conducting a clinical study, the terms of the clinical study protocol (as fully approved by all applicable bodies) overrides the local product labelling.</w:t>
      </w:r>
    </w:p>
    <w:p w:rsidR="00476148" w:rsidRPr="00B7513E" w:rsidRDefault="00476148" w:rsidP="00476148">
      <w:pPr>
        <w:widowControl w:val="0"/>
        <w:spacing w:after="240"/>
        <w:ind w:firstLine="0"/>
        <w:jc w:val="both"/>
        <w:rPr>
          <w:color w:val="000000"/>
          <w:sz w:val="22"/>
          <w:szCs w:val="22"/>
        </w:rPr>
      </w:pPr>
      <w:r w:rsidRPr="00B7513E">
        <w:rPr>
          <w:b/>
          <w:bCs/>
          <w:color w:val="000000"/>
          <w:sz w:val="22"/>
          <w:szCs w:val="22"/>
        </w:rPr>
        <w:t xml:space="preserve">Pregnancy Reports: </w:t>
      </w:r>
      <w:r w:rsidRPr="00B7513E">
        <w:rPr>
          <w:color w:val="000000"/>
          <w:sz w:val="22"/>
          <w:szCs w:val="22"/>
        </w:rPr>
        <w:t xml:space="preserve">Reports of pregnancy following maternal or paternal exposure to the product. </w:t>
      </w:r>
    </w:p>
    <w:p w:rsidR="00476148" w:rsidRPr="00B7513E" w:rsidRDefault="00476148" w:rsidP="00476148">
      <w:pPr>
        <w:widowControl w:val="0"/>
        <w:spacing w:after="240"/>
        <w:ind w:firstLine="0"/>
        <w:jc w:val="both"/>
        <w:rPr>
          <w:color w:val="000000"/>
          <w:sz w:val="22"/>
          <w:szCs w:val="22"/>
        </w:rPr>
      </w:pPr>
      <w:r w:rsidRPr="00B7513E">
        <w:rPr>
          <w:b/>
          <w:bCs/>
          <w:color w:val="000000"/>
          <w:sz w:val="22"/>
          <w:szCs w:val="22"/>
        </w:rPr>
        <w:lastRenderedPageBreak/>
        <w:t xml:space="preserve">Product Complaints: </w:t>
      </w:r>
      <w:r w:rsidRPr="00B7513E">
        <w:rPr>
          <w:color w:val="000000"/>
          <w:sz w:val="22"/>
          <w:szCs w:val="22"/>
        </w:rPr>
        <w:t>Complaints arising from potential deviations in the manufacture, packaging or distribution of the medicinal product.</w:t>
      </w:r>
    </w:p>
    <w:p w:rsidR="00476148" w:rsidRPr="00B7513E" w:rsidRDefault="00476148" w:rsidP="00476148">
      <w:pPr>
        <w:widowControl w:val="0"/>
        <w:spacing w:after="240"/>
        <w:ind w:firstLine="0"/>
        <w:jc w:val="both"/>
        <w:rPr>
          <w:color w:val="000000"/>
          <w:sz w:val="22"/>
          <w:szCs w:val="22"/>
        </w:rPr>
      </w:pPr>
      <w:r w:rsidRPr="00B7513E">
        <w:rPr>
          <w:b/>
          <w:bCs/>
          <w:caps/>
          <w:color w:val="000000"/>
          <w:sz w:val="22"/>
          <w:szCs w:val="22"/>
        </w:rPr>
        <w:t>S</w:t>
      </w:r>
      <w:r w:rsidRPr="00B7513E">
        <w:rPr>
          <w:b/>
          <w:bCs/>
          <w:color w:val="000000"/>
          <w:sz w:val="22"/>
          <w:szCs w:val="22"/>
        </w:rPr>
        <w:t>erious Adverse Event (“SAE”) / Serious Adverse Reaction (“SAR”)</w:t>
      </w:r>
      <w:r w:rsidRPr="00B7513E">
        <w:rPr>
          <w:b/>
          <w:bCs/>
          <w:caps/>
          <w:color w:val="000000"/>
          <w:sz w:val="22"/>
          <w:szCs w:val="22"/>
        </w:rPr>
        <w:t xml:space="preserve">:  </w:t>
      </w:r>
      <w:r w:rsidRPr="00B7513E">
        <w:rPr>
          <w:color w:val="000000"/>
          <w:sz w:val="22"/>
          <w:szCs w:val="22"/>
        </w:rPr>
        <w:t>An event or any untoward medical occurrence that at any dose</w:t>
      </w:r>
      <w:bookmarkStart w:id="2" w:name="_DV_C56"/>
      <w:r w:rsidRPr="00B7513E">
        <w:rPr>
          <w:color w:val="000000"/>
          <w:sz w:val="22"/>
          <w:szCs w:val="22"/>
        </w:rPr>
        <w:t xml:space="preserve"> either</w:t>
      </w:r>
      <w:bookmarkEnd w:id="2"/>
      <w:r w:rsidRPr="00B7513E">
        <w:rPr>
          <w:color w:val="000000"/>
          <w:sz w:val="22"/>
          <w:szCs w:val="22"/>
        </w:rPr>
        <w:t>:</w:t>
      </w: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color w:val="000000"/>
          <w:sz w:val="22"/>
          <w:szCs w:val="22"/>
        </w:rPr>
        <w:t>Results in death; or</w:t>
      </w: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color w:val="000000"/>
          <w:sz w:val="22"/>
          <w:szCs w:val="22"/>
        </w:rPr>
        <w:t>Is life-threatening</w:t>
      </w:r>
    </w:p>
    <w:p w:rsidR="00476148" w:rsidRPr="00B7513E" w:rsidRDefault="00476148" w:rsidP="00476148">
      <w:pPr>
        <w:pStyle w:val="ListParagraph"/>
        <w:widowControl w:val="0"/>
        <w:spacing w:after="240"/>
        <w:ind w:firstLine="0"/>
        <w:jc w:val="both"/>
        <w:rPr>
          <w:i/>
          <w:iCs/>
          <w:color w:val="000000"/>
          <w:sz w:val="22"/>
          <w:szCs w:val="22"/>
        </w:rPr>
      </w:pPr>
    </w:p>
    <w:p w:rsidR="00476148" w:rsidRPr="00B7513E" w:rsidRDefault="00476148" w:rsidP="00476148">
      <w:pPr>
        <w:pStyle w:val="ListParagraph"/>
        <w:widowControl w:val="0"/>
        <w:spacing w:after="240"/>
        <w:ind w:firstLine="0"/>
        <w:jc w:val="both"/>
        <w:rPr>
          <w:color w:val="000000"/>
          <w:sz w:val="22"/>
          <w:szCs w:val="22"/>
        </w:rPr>
      </w:pPr>
      <w:r w:rsidRPr="00B7513E">
        <w:rPr>
          <w:i/>
          <w:iCs/>
          <w:color w:val="000000"/>
          <w:sz w:val="22"/>
          <w:szCs w:val="22"/>
        </w:rPr>
        <w:t xml:space="preserve">NOTE: </w:t>
      </w:r>
      <w:r w:rsidRPr="00B7513E">
        <w:rPr>
          <w:color w:val="000000"/>
          <w:sz w:val="22"/>
          <w:szCs w:val="22"/>
        </w:rPr>
        <w:t>The term “life-threatening” in the definition of “serious” refers to an event in which the patient was at risk of death at the time of the event; it does not refer to an event which hypothetically might have caused death if it were more severe; or</w:t>
      </w:r>
    </w:p>
    <w:p w:rsidR="00476148" w:rsidRPr="00B7513E" w:rsidRDefault="00476148" w:rsidP="00476148">
      <w:pPr>
        <w:pStyle w:val="ListParagraph"/>
        <w:widowControl w:val="0"/>
        <w:spacing w:after="240"/>
        <w:ind w:firstLine="0"/>
        <w:jc w:val="both"/>
        <w:rPr>
          <w:color w:val="000000"/>
          <w:sz w:val="22"/>
          <w:szCs w:val="22"/>
        </w:rPr>
      </w:pP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color w:val="000000"/>
          <w:sz w:val="22"/>
          <w:szCs w:val="22"/>
        </w:rPr>
        <w:t>Requires in-patient hospitalisation or prolongation of existing hospitalisation; or</w:t>
      </w: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rFonts w:eastAsia="MS Mincho"/>
          <w:color w:val="000000"/>
          <w:sz w:val="22"/>
          <w:szCs w:val="22"/>
        </w:rPr>
        <w:t>Results in persistent or significant disability/incapacity</w:t>
      </w:r>
      <w:r w:rsidRPr="00B7513E">
        <w:rPr>
          <w:rFonts w:eastAsia="MS Mincho"/>
          <w:color w:val="000000"/>
          <w:sz w:val="22"/>
          <w:szCs w:val="22"/>
          <w:lang w:eastAsia="ja-JP"/>
        </w:rPr>
        <w:t>;</w:t>
      </w:r>
      <w:r w:rsidRPr="00B7513E">
        <w:rPr>
          <w:rFonts w:eastAsia="MS Mincho"/>
          <w:color w:val="000000"/>
          <w:sz w:val="22"/>
          <w:szCs w:val="22"/>
        </w:rPr>
        <w:t xml:space="preserve"> or</w:t>
      </w: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color w:val="000000"/>
          <w:sz w:val="22"/>
          <w:szCs w:val="22"/>
        </w:rPr>
        <w:t xml:space="preserve">Results in a congenital anomaly/birth defect; or </w:t>
      </w:r>
    </w:p>
    <w:p w:rsidR="00476148" w:rsidRPr="00B7513E" w:rsidRDefault="00476148" w:rsidP="00476148">
      <w:pPr>
        <w:pStyle w:val="ListParagraph"/>
        <w:widowControl w:val="0"/>
        <w:numPr>
          <w:ilvl w:val="0"/>
          <w:numId w:val="1"/>
        </w:numPr>
        <w:spacing w:after="240"/>
        <w:jc w:val="both"/>
        <w:rPr>
          <w:color w:val="000000"/>
          <w:sz w:val="22"/>
          <w:szCs w:val="22"/>
        </w:rPr>
      </w:pPr>
      <w:r w:rsidRPr="00B7513E">
        <w:rPr>
          <w:color w:val="000000"/>
          <w:sz w:val="22"/>
          <w:szCs w:val="22"/>
        </w:rPr>
        <w:t>Results in a medically important event or reaction.</w:t>
      </w:r>
    </w:p>
    <w:p w:rsidR="00476148" w:rsidRPr="00B7513E" w:rsidRDefault="00476148" w:rsidP="00476148">
      <w:pPr>
        <w:pStyle w:val="ListParagraph"/>
        <w:widowControl w:val="0"/>
        <w:spacing w:after="240"/>
        <w:ind w:firstLine="0"/>
        <w:jc w:val="both"/>
        <w:rPr>
          <w:color w:val="000000"/>
          <w:sz w:val="22"/>
          <w:szCs w:val="22"/>
        </w:rPr>
      </w:pPr>
    </w:p>
    <w:p w:rsidR="00476148" w:rsidRPr="00B7513E" w:rsidRDefault="00476148" w:rsidP="00476148">
      <w:pPr>
        <w:pStyle w:val="ListParagraph"/>
        <w:widowControl w:val="0"/>
        <w:spacing w:after="240"/>
        <w:ind w:firstLine="0"/>
        <w:jc w:val="both"/>
        <w:rPr>
          <w:color w:val="000000"/>
          <w:sz w:val="22"/>
          <w:szCs w:val="22"/>
        </w:rPr>
      </w:pPr>
      <w:r w:rsidRPr="00B7513E">
        <w:rPr>
          <w:i/>
          <w:iCs/>
          <w:color w:val="000000"/>
          <w:sz w:val="22"/>
          <w:szCs w:val="22"/>
        </w:rPr>
        <w:t xml:space="preserve">NOTE: </w:t>
      </w:r>
      <w:r w:rsidRPr="00B7513E">
        <w:rPr>
          <w:color w:val="000000"/>
          <w:sz w:val="22"/>
          <w:szCs w:val="22"/>
        </w:rPr>
        <w:t>medically important event</w:t>
      </w:r>
      <w:r w:rsidRPr="00B7513E">
        <w:rPr>
          <w:b/>
          <w:bCs/>
          <w:color w:val="000000"/>
          <w:sz w:val="22"/>
          <w:szCs w:val="22"/>
          <w:lang w:eastAsia="ja-JP"/>
        </w:rPr>
        <w:t xml:space="preserve">: </w:t>
      </w:r>
      <w:r w:rsidRPr="00B7513E">
        <w:rPr>
          <w:color w:val="000000"/>
          <w:sz w:val="22"/>
          <w:szCs w:val="22"/>
          <w:lang w:eastAsia="ja-JP"/>
        </w:rPr>
        <w:t>A</w:t>
      </w:r>
      <w:r w:rsidRPr="00B7513E">
        <w:rPr>
          <w:color w:val="000000"/>
          <w:sz w:val="22"/>
          <w:szCs w:val="22"/>
        </w:rPr>
        <w:t>Es requiring</w:t>
      </w:r>
      <w:r w:rsidRPr="00B7513E">
        <w:rPr>
          <w:b/>
          <w:bCs/>
          <w:color w:val="000000"/>
          <w:sz w:val="22"/>
          <w:szCs w:val="22"/>
        </w:rPr>
        <w:t xml:space="preserve"> </w:t>
      </w:r>
      <w:r w:rsidRPr="00B7513E">
        <w:rPr>
          <w:color w:val="000000"/>
          <w:sz w:val="22"/>
          <w:szCs w:val="22"/>
        </w:rPr>
        <w:t xml:space="preserve">medical and scientific judgment to determine if expedited reporting is appropriate.  Such events may not be immediately life-threatening or result in death or hospitalisation but may jeopardise the patient or may require intervention to prevent one of the other outcomes constituting SAEs.  Medical and scientific judgement should be exercised in deciding whether an event is a medically important event.  Examples of medically important events include intensive treatment in an emergency room or at home for allergic bronchospasm; blood dyscrasias or convulsions that do not result in hospitalisation; or development of drug dependency or drug </w:t>
      </w:r>
      <w:r w:rsidRPr="00B7513E">
        <w:rPr>
          <w:color w:val="000000"/>
          <w:sz w:val="22"/>
          <w:szCs w:val="22"/>
          <w:lang w:eastAsia="ja-JP"/>
        </w:rPr>
        <w:t>A</w:t>
      </w:r>
      <w:r w:rsidRPr="00B7513E">
        <w:rPr>
          <w:color w:val="000000"/>
          <w:sz w:val="22"/>
          <w:szCs w:val="22"/>
        </w:rPr>
        <w:t>buse.  For the avoidance of doubt, infections resulting from contaminated medicinal product shall be considered a medically important event and subject to expedited reporting requirements</w:t>
      </w:r>
      <w:r w:rsidRPr="00B7513E">
        <w:rPr>
          <w:color w:val="000000"/>
          <w:sz w:val="22"/>
          <w:szCs w:val="22"/>
          <w:lang w:eastAsia="ja-JP"/>
        </w:rPr>
        <w:t>.</w:t>
      </w:r>
    </w:p>
    <w:p w:rsidR="00476148" w:rsidRPr="00B7513E" w:rsidRDefault="00476148" w:rsidP="00476148">
      <w:pPr>
        <w:widowControl w:val="0"/>
        <w:spacing w:after="240"/>
        <w:ind w:firstLine="0"/>
        <w:jc w:val="both"/>
        <w:rPr>
          <w:color w:val="000000"/>
          <w:sz w:val="22"/>
          <w:szCs w:val="22"/>
        </w:rPr>
      </w:pPr>
      <w:r w:rsidRPr="00B7513E">
        <w:rPr>
          <w:b/>
          <w:sz w:val="22"/>
          <w:szCs w:val="22"/>
        </w:rPr>
        <w:t xml:space="preserve">Special Situation Reports (“SSR”): </w:t>
      </w:r>
      <w:r w:rsidRPr="00B7513E">
        <w:rPr>
          <w:sz w:val="22"/>
          <w:szCs w:val="22"/>
        </w:rPr>
        <w:t xml:space="preserve">One of a) Pregnancy, b) Abuse, c) Medication Error, d) Misuse, e) Off-Label Use, f) Overdose, g) Lack of Effect, h) AEs in infants following exposure from breastfeeding, i) AEs associated with Product Complaints or arising from Occupational Exposure. For the avoidance of doubt this applies to all reports including reports in a pediatric or elderly population.  </w:t>
      </w:r>
    </w:p>
    <w:p w:rsidR="00476148" w:rsidRPr="00B7513E" w:rsidRDefault="00476148" w:rsidP="00476148">
      <w:pPr>
        <w:ind w:firstLine="0"/>
        <w:jc w:val="both"/>
        <w:rPr>
          <w:bCs/>
          <w:sz w:val="22"/>
          <w:szCs w:val="22"/>
        </w:rPr>
      </w:pPr>
      <w:r w:rsidRPr="00B7513E">
        <w:rPr>
          <w:b/>
          <w:bCs/>
          <w:i/>
          <w:iCs/>
          <w:sz w:val="22"/>
          <w:szCs w:val="22"/>
          <w:u w:val="single"/>
        </w:rPr>
        <w:t>NOTE:</w:t>
      </w:r>
      <w:r w:rsidRPr="00B7513E">
        <w:rPr>
          <w:b/>
          <w:bCs/>
          <w:sz w:val="22"/>
          <w:szCs w:val="22"/>
        </w:rPr>
        <w:t xml:space="preserve"> </w:t>
      </w:r>
      <w:r w:rsidRPr="00B7513E">
        <w:rPr>
          <w:bCs/>
          <w:sz w:val="22"/>
          <w:szCs w:val="22"/>
        </w:rPr>
        <w:t xml:space="preserve">This is not an exhaustive list and any safety information should be reported to </w:t>
      </w:r>
      <w:r>
        <w:rPr>
          <w:bCs/>
          <w:sz w:val="22"/>
          <w:szCs w:val="22"/>
        </w:rPr>
        <w:t>Gilead’s Drug Safety Public Health (</w:t>
      </w:r>
      <w:r w:rsidRPr="00B7513E">
        <w:rPr>
          <w:bCs/>
          <w:sz w:val="22"/>
          <w:szCs w:val="22"/>
        </w:rPr>
        <w:t>DSPH</w:t>
      </w:r>
      <w:r>
        <w:rPr>
          <w:bCs/>
          <w:sz w:val="22"/>
          <w:szCs w:val="22"/>
        </w:rPr>
        <w:t>)</w:t>
      </w:r>
      <w:r w:rsidRPr="00B7513E">
        <w:rPr>
          <w:bCs/>
          <w:sz w:val="22"/>
          <w:szCs w:val="22"/>
        </w:rPr>
        <w:t>.</w:t>
      </w:r>
    </w:p>
    <w:p w:rsidR="00476148" w:rsidRPr="00B7513E" w:rsidRDefault="00476148" w:rsidP="00476148">
      <w:pPr>
        <w:pStyle w:val="BodyText"/>
        <w:widowControl/>
        <w:jc w:val="both"/>
        <w:rPr>
          <w:rFonts w:ascii="Times New Roman" w:hAnsi="Times New Roman"/>
          <w:color w:val="000000"/>
          <w:szCs w:val="22"/>
        </w:rPr>
      </w:pPr>
    </w:p>
    <w:p w:rsidR="004A6AC9" w:rsidRDefault="004A6AC9">
      <w:bookmarkStart w:id="3" w:name="_GoBack"/>
      <w:bookmarkEnd w:id="3"/>
    </w:p>
    <w:sectPr w:rsidR="004A6AC9">
      <w:headerReference w:type="even" r:id="rId6"/>
      <w:headerReference w:type="default" r:id="rId7"/>
      <w:footerReference w:type="even" r:id="rId8"/>
      <w:footerReference w:type="default" r:id="rId9"/>
      <w:headerReference w:type="first" r:id="rId10"/>
      <w:footerReference w:type="first" r:id="rId11"/>
      <w:endnotePr>
        <w:numFmt w:val="decimal"/>
      </w:endnotePr>
      <w:pgSz w:w="12240" w:h="15840" w:code="1"/>
      <w:pgMar w:top="1440" w:right="1440" w:bottom="1440" w:left="1440" w:header="1872" w:footer="93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E2" w:rsidRDefault="00476148" w:rsidP="00BC6F28">
    <w:pPr>
      <w:pStyle w:val="Footer"/>
    </w:pPr>
    <w:r>
      <w:fldChar w:fldCharType="begin"/>
    </w:r>
    <w:r>
      <w:instrText xml:space="preserve"> DOCVARIABLE RBRO_EASYID_VALUE \* MERGEFORMAT </w:instrText>
    </w:r>
    <w:r>
      <w:fldChar w:fldCharType="separate"/>
    </w:r>
    <w:r w:rsidRPr="00A72676">
      <w:rPr>
        <w:rStyle w:val="EasyID"/>
      </w:rPr>
      <w:t>221490.5</w:t>
    </w:r>
    <w:r>
      <w:rPr>
        <w:rStyle w:val="Easy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E2" w:rsidRDefault="00476148" w:rsidP="00BC6F28">
    <w:pPr>
      <w:pStyle w:val="Footer"/>
    </w:pPr>
    <w:r>
      <w:fldChar w:fldCharType="begin"/>
    </w:r>
    <w:r>
      <w:instrText xml:space="preserve"> DOCVARIABLE RBRO_EASYID_VALUE \* MERGEFORMAT </w:instrText>
    </w:r>
    <w:r>
      <w:fldChar w:fldCharType="separate"/>
    </w:r>
    <w:r w:rsidRPr="00A72676">
      <w:rPr>
        <w:rStyle w:val="EasyID"/>
      </w:rPr>
      <w:t>221490.5</w:t>
    </w:r>
    <w:r>
      <w:rPr>
        <w:rStyle w:val="Easy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0E2" w:rsidRDefault="00476148" w:rsidP="00BC6F28">
    <w:pPr>
      <w:pStyle w:val="Footer"/>
    </w:pPr>
    <w:r>
      <w:fldChar w:fldCharType="begin"/>
    </w:r>
    <w:r>
      <w:instrText xml:space="preserve"> DOCVARIABLE RBRO_EASYID_VALUE \* MERGEFORMAT </w:instrText>
    </w:r>
    <w:r>
      <w:fldChar w:fldCharType="separate"/>
    </w:r>
    <w:r w:rsidRPr="00A72676">
      <w:rPr>
        <w:rStyle w:val="EasyID"/>
      </w:rPr>
      <w:t>221490.5</w:t>
    </w:r>
    <w:r>
      <w:rPr>
        <w:rStyle w:val="EasyID"/>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F3" w:rsidRDefault="004761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4F3" w:rsidRDefault="004761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6E9" w:rsidRPr="00D24BF0" w:rsidRDefault="00476148" w:rsidP="00D24BF0">
    <w:pPr>
      <w:pStyle w:val="Header"/>
      <w:jc w:val="right"/>
      <w:rPr>
        <w:i/>
        <w:sz w:val="20"/>
      </w:rPr>
    </w:pPr>
    <w:r w:rsidRPr="00D24BF0">
      <w:rPr>
        <w:i/>
        <w:sz w:val="20"/>
      </w:rPr>
      <w:t>Gilead Draft</w:t>
    </w:r>
  </w:p>
  <w:p w:rsidR="00D24BF0" w:rsidRPr="00D24BF0" w:rsidRDefault="00476148" w:rsidP="00D24BF0">
    <w:pPr>
      <w:pStyle w:val="Header"/>
      <w:jc w:val="right"/>
      <w:rPr>
        <w:i/>
        <w:sz w:val="20"/>
      </w:rPr>
    </w:pPr>
    <w:r w:rsidRPr="00D24BF0">
      <w:rPr>
        <w:i/>
        <w:sz w:val="20"/>
      </w:rPr>
      <w:t>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4090017"/>
    <w:lvl w:ilvl="0">
      <w:start w:val="1"/>
      <w:numFmt w:val="lowerLetter"/>
      <w:lvlText w:val="%1)"/>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87"/>
    <w:rsid w:val="00060087"/>
    <w:rsid w:val="00476148"/>
    <w:rsid w:val="004A6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48"/>
    <w:pPr>
      <w:spacing w:before="240" w:after="0" w:line="24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148"/>
    <w:pPr>
      <w:tabs>
        <w:tab w:val="center" w:pos="4320"/>
        <w:tab w:val="right" w:pos="8640"/>
      </w:tabs>
      <w:spacing w:before="0"/>
      <w:ind w:firstLine="0"/>
    </w:pPr>
  </w:style>
  <w:style w:type="character" w:customStyle="1" w:styleId="HeaderChar">
    <w:name w:val="Header Char"/>
    <w:basedOn w:val="DefaultParagraphFont"/>
    <w:link w:val="Header"/>
    <w:uiPriority w:val="99"/>
    <w:rsid w:val="00476148"/>
    <w:rPr>
      <w:rFonts w:ascii="Times New Roman" w:eastAsia="Times New Roman" w:hAnsi="Times New Roman" w:cs="Times New Roman"/>
      <w:sz w:val="24"/>
      <w:szCs w:val="20"/>
    </w:rPr>
  </w:style>
  <w:style w:type="paragraph" w:styleId="Footer">
    <w:name w:val="footer"/>
    <w:basedOn w:val="Normal"/>
    <w:link w:val="FooterChar"/>
    <w:semiHidden/>
    <w:rsid w:val="00476148"/>
    <w:pPr>
      <w:tabs>
        <w:tab w:val="center" w:pos="5040"/>
        <w:tab w:val="right" w:pos="9720"/>
      </w:tabs>
      <w:spacing w:before="0"/>
      <w:ind w:firstLine="0"/>
    </w:pPr>
  </w:style>
  <w:style w:type="character" w:customStyle="1" w:styleId="FooterChar">
    <w:name w:val="Footer Char"/>
    <w:basedOn w:val="DefaultParagraphFont"/>
    <w:link w:val="Footer"/>
    <w:semiHidden/>
    <w:rsid w:val="00476148"/>
    <w:rPr>
      <w:rFonts w:ascii="Times New Roman" w:eastAsia="Times New Roman" w:hAnsi="Times New Roman" w:cs="Times New Roman"/>
      <w:sz w:val="24"/>
      <w:szCs w:val="20"/>
    </w:rPr>
  </w:style>
  <w:style w:type="paragraph" w:styleId="BodyText">
    <w:name w:val="Body Text"/>
    <w:basedOn w:val="Normal"/>
    <w:link w:val="BodyTextChar"/>
    <w:semiHidden/>
    <w:rsid w:val="00476148"/>
    <w:pPr>
      <w:widowControl w:val="0"/>
      <w:spacing w:before="0"/>
      <w:ind w:firstLine="0"/>
    </w:pPr>
    <w:rPr>
      <w:rFonts w:ascii="Tahoma" w:hAnsi="Tahoma"/>
      <w:b/>
      <w:snapToGrid w:val="0"/>
      <w:sz w:val="22"/>
    </w:rPr>
  </w:style>
  <w:style w:type="character" w:customStyle="1" w:styleId="BodyTextChar">
    <w:name w:val="Body Text Char"/>
    <w:basedOn w:val="DefaultParagraphFont"/>
    <w:link w:val="BodyText"/>
    <w:semiHidden/>
    <w:rsid w:val="00476148"/>
    <w:rPr>
      <w:rFonts w:ascii="Tahoma" w:eastAsia="Times New Roman" w:hAnsi="Tahoma" w:cs="Times New Roman"/>
      <w:b/>
      <w:snapToGrid w:val="0"/>
      <w:szCs w:val="20"/>
    </w:rPr>
  </w:style>
  <w:style w:type="character" w:customStyle="1" w:styleId="EasyID">
    <w:name w:val="EasyID"/>
    <w:basedOn w:val="DefaultParagraphFont"/>
    <w:rsid w:val="00476148"/>
    <w:rPr>
      <w:rFonts w:ascii="Calibri" w:hAnsi="Calibri"/>
      <w:sz w:val="22"/>
      <w:szCs w:val="20"/>
      <w:lang w:val="en-US" w:eastAsia="en-US" w:bidi="ar-SA"/>
    </w:rPr>
  </w:style>
  <w:style w:type="paragraph" w:styleId="ListParagraph">
    <w:name w:val="List Paragraph"/>
    <w:basedOn w:val="Normal"/>
    <w:uiPriority w:val="34"/>
    <w:qFormat/>
    <w:rsid w:val="00476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148"/>
    <w:pPr>
      <w:spacing w:before="240" w:after="0" w:line="240" w:lineRule="auto"/>
      <w:ind w:firstLine="72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6148"/>
    <w:pPr>
      <w:tabs>
        <w:tab w:val="center" w:pos="4320"/>
        <w:tab w:val="right" w:pos="8640"/>
      </w:tabs>
      <w:spacing w:before="0"/>
      <w:ind w:firstLine="0"/>
    </w:pPr>
  </w:style>
  <w:style w:type="character" w:customStyle="1" w:styleId="HeaderChar">
    <w:name w:val="Header Char"/>
    <w:basedOn w:val="DefaultParagraphFont"/>
    <w:link w:val="Header"/>
    <w:uiPriority w:val="99"/>
    <w:rsid w:val="00476148"/>
    <w:rPr>
      <w:rFonts w:ascii="Times New Roman" w:eastAsia="Times New Roman" w:hAnsi="Times New Roman" w:cs="Times New Roman"/>
      <w:sz w:val="24"/>
      <w:szCs w:val="20"/>
    </w:rPr>
  </w:style>
  <w:style w:type="paragraph" w:styleId="Footer">
    <w:name w:val="footer"/>
    <w:basedOn w:val="Normal"/>
    <w:link w:val="FooterChar"/>
    <w:semiHidden/>
    <w:rsid w:val="00476148"/>
    <w:pPr>
      <w:tabs>
        <w:tab w:val="center" w:pos="5040"/>
        <w:tab w:val="right" w:pos="9720"/>
      </w:tabs>
      <w:spacing w:before="0"/>
      <w:ind w:firstLine="0"/>
    </w:pPr>
  </w:style>
  <w:style w:type="character" w:customStyle="1" w:styleId="FooterChar">
    <w:name w:val="Footer Char"/>
    <w:basedOn w:val="DefaultParagraphFont"/>
    <w:link w:val="Footer"/>
    <w:semiHidden/>
    <w:rsid w:val="00476148"/>
    <w:rPr>
      <w:rFonts w:ascii="Times New Roman" w:eastAsia="Times New Roman" w:hAnsi="Times New Roman" w:cs="Times New Roman"/>
      <w:sz w:val="24"/>
      <w:szCs w:val="20"/>
    </w:rPr>
  </w:style>
  <w:style w:type="paragraph" w:styleId="BodyText">
    <w:name w:val="Body Text"/>
    <w:basedOn w:val="Normal"/>
    <w:link w:val="BodyTextChar"/>
    <w:semiHidden/>
    <w:rsid w:val="00476148"/>
    <w:pPr>
      <w:widowControl w:val="0"/>
      <w:spacing w:before="0"/>
      <w:ind w:firstLine="0"/>
    </w:pPr>
    <w:rPr>
      <w:rFonts w:ascii="Tahoma" w:hAnsi="Tahoma"/>
      <w:b/>
      <w:snapToGrid w:val="0"/>
      <w:sz w:val="22"/>
    </w:rPr>
  </w:style>
  <w:style w:type="character" w:customStyle="1" w:styleId="BodyTextChar">
    <w:name w:val="Body Text Char"/>
    <w:basedOn w:val="DefaultParagraphFont"/>
    <w:link w:val="BodyText"/>
    <w:semiHidden/>
    <w:rsid w:val="00476148"/>
    <w:rPr>
      <w:rFonts w:ascii="Tahoma" w:eastAsia="Times New Roman" w:hAnsi="Tahoma" w:cs="Times New Roman"/>
      <w:b/>
      <w:snapToGrid w:val="0"/>
      <w:szCs w:val="20"/>
    </w:rPr>
  </w:style>
  <w:style w:type="character" w:customStyle="1" w:styleId="EasyID">
    <w:name w:val="EasyID"/>
    <w:basedOn w:val="DefaultParagraphFont"/>
    <w:rsid w:val="00476148"/>
    <w:rPr>
      <w:rFonts w:ascii="Calibri" w:hAnsi="Calibri"/>
      <w:sz w:val="22"/>
      <w:szCs w:val="20"/>
      <w:lang w:val="en-US" w:eastAsia="en-US" w:bidi="ar-SA"/>
    </w:rPr>
  </w:style>
  <w:style w:type="paragraph" w:styleId="ListParagraph">
    <w:name w:val="List Paragraph"/>
    <w:basedOn w:val="Normal"/>
    <w:uiPriority w:val="34"/>
    <w:qFormat/>
    <w:rsid w:val="00476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dcterms:created xsi:type="dcterms:W3CDTF">2017-04-19T10:04:00Z</dcterms:created>
  <dcterms:modified xsi:type="dcterms:W3CDTF">2017-04-19T10:04:00Z</dcterms:modified>
</cp:coreProperties>
</file>